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3"/>
        <w:gridCol w:w="3770"/>
      </w:tblGrid>
      <w:tr w:rsidR="00FD6F09" w:rsidRPr="0045051D" w14:paraId="65B41961" w14:textId="77777777" w:rsidTr="00CF52AB">
        <w:trPr>
          <w:trHeight w:val="924"/>
          <w:jc w:val="center"/>
        </w:trPr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52612" w14:textId="77777777" w:rsidR="00D82195" w:rsidRPr="0045051D" w:rsidRDefault="00D82195" w:rsidP="0045051D">
            <w:pPr>
              <w:widowControl w:val="0"/>
              <w:shd w:val="clear" w:color="auto" w:fill="FFFFFF" w:themeFill="background1"/>
              <w:tabs>
                <w:tab w:val="left" w:pos="8178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51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A01156D" wp14:editId="5E4BF674">
                  <wp:extent cx="391668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6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7265B1" w14:textId="77777777" w:rsidR="00D82195" w:rsidRPr="0045051D" w:rsidRDefault="00D82195" w:rsidP="0045051D">
            <w:pPr>
              <w:widowControl w:val="0"/>
              <w:shd w:val="clear" w:color="auto" w:fill="FFFFFF" w:themeFill="background1"/>
              <w:tabs>
                <w:tab w:val="left" w:pos="8178"/>
              </w:tabs>
              <w:autoSpaceDE w:val="0"/>
              <w:autoSpaceDN w:val="0"/>
              <w:adjustRightInd w:val="0"/>
              <w:spacing w:after="0" w:line="240" w:lineRule="auto"/>
              <w:ind w:left="118" w:right="8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3E9586" w14:textId="77777777" w:rsidR="00860EAB" w:rsidRPr="0045051D" w:rsidRDefault="00860EAB" w:rsidP="0045051D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GridTable6ColorfulAccent2"/>
        <w:tblW w:w="1064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8381"/>
      </w:tblGrid>
      <w:tr w:rsidR="00DF675D" w:rsidRPr="0045051D" w14:paraId="3B8C279C" w14:textId="77777777" w:rsidTr="007E5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4" w:type="dxa"/>
            <w:gridSpan w:val="2"/>
            <w:shd w:val="clear" w:color="auto" w:fill="ED7D31" w:themeFill="accent2"/>
          </w:tcPr>
          <w:p w14:paraId="00FB161E" w14:textId="1117198A" w:rsidR="00B420B8" w:rsidRPr="0045051D" w:rsidRDefault="00B420B8" w:rsidP="0045051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Termes de </w:t>
            </w:r>
            <w:r w:rsidR="008109E5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référence</w:t>
            </w:r>
            <w:r w:rsidR="006C51F8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du/de la consultant(e)</w:t>
            </w: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C55FB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individuel(le)</w:t>
            </w:r>
            <w:r w:rsidR="00F60A31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20CA3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en genre et droits humains en appui</w:t>
            </w:r>
            <w:r w:rsidR="000465E8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</w:t>
            </w:r>
            <w:r w:rsidR="00E32F85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x interventions de lutte contre les Violences basées et les droits humains dans la région d’</w:t>
            </w:r>
            <w:proofErr w:type="spellStart"/>
            <w:r w:rsidR="00E32F85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Anosy</w:t>
            </w:r>
            <w:proofErr w:type="spellEnd"/>
            <w:r w:rsidR="00E32F85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, Madagascar</w:t>
            </w:r>
            <w:r w:rsidR="000465E8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F675D" w:rsidRPr="0045051D" w14:paraId="64AC51F6" w14:textId="77777777" w:rsidTr="00EC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0AD853AF" w14:textId="77777777" w:rsidR="00860EAB" w:rsidRPr="0045051D" w:rsidRDefault="00860EAB" w:rsidP="0045051D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Hiring</w:t>
            </w:r>
            <w:proofErr w:type="spellEnd"/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office : </w:t>
            </w:r>
          </w:p>
        </w:tc>
        <w:tc>
          <w:tcPr>
            <w:tcW w:w="8381" w:type="dxa"/>
            <w:shd w:val="clear" w:color="auto" w:fill="FFFFFF" w:themeFill="background1"/>
          </w:tcPr>
          <w:p w14:paraId="0B75A884" w14:textId="12DFB2E1" w:rsidR="00EC5AFD" w:rsidRPr="0045051D" w:rsidRDefault="00CD669A" w:rsidP="0045051D">
            <w:pPr>
              <w:shd w:val="clear" w:color="auto" w:fill="FFFFFF" w:themeFill="background1"/>
              <w:tabs>
                <w:tab w:val="left" w:pos="715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UNFPA Madagascar</w:t>
            </w:r>
          </w:p>
          <w:p w14:paraId="280F0E82" w14:textId="7EBE8866" w:rsidR="00F4231A" w:rsidRPr="0045051D" w:rsidRDefault="000C7C6B" w:rsidP="0045051D">
            <w:pPr>
              <w:shd w:val="clear" w:color="auto" w:fill="FFFFFF" w:themeFill="background1"/>
              <w:tabs>
                <w:tab w:val="left" w:pos="715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DF675D" w:rsidRPr="0045051D" w14:paraId="78BB20B6" w14:textId="77777777" w:rsidTr="00EC5A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41D1482C" w14:textId="77777777" w:rsidR="008109E5" w:rsidRPr="0045051D" w:rsidRDefault="008109E5" w:rsidP="0045051D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Purpose</w:t>
            </w:r>
            <w:proofErr w:type="spellEnd"/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consultancy</w:t>
            </w:r>
            <w:proofErr w:type="spellEnd"/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81" w:type="dxa"/>
            <w:shd w:val="clear" w:color="auto" w:fill="FFFFFF" w:themeFill="background1"/>
          </w:tcPr>
          <w:p w14:paraId="150E0EF9" w14:textId="77777777" w:rsidR="00EA3F65" w:rsidRPr="0045051D" w:rsidRDefault="00E32F85" w:rsidP="0045051D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Dans le cadre de la mise en œuvre du Projet Conjoint des Nations Unies sur le Développement d'un système intégré de protection sociale pour</w:t>
            </w:r>
            <w:r w:rsidR="000210D7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Madagascar, sensible aux b</w:t>
            </w:r>
            <w:r w:rsidR="000210D7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esoins </w:t>
            </w:r>
            <w:r w:rsidR="003441B6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des personnes handicapées</w:t>
            </w:r>
            <w:r w:rsidR="000210D7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, le Fonds des Nations Unies pour la Population (UNFPA)</w:t>
            </w:r>
            <w:r w:rsidR="003441B6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recrute un(e) consultant(e) en genre et droits humains. </w:t>
            </w: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F29E9D5" w14:textId="77777777" w:rsidR="00EA3F65" w:rsidRPr="0045051D" w:rsidRDefault="00EA3F65" w:rsidP="0045051D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07AFD5" w14:textId="77777777" w:rsidR="00520CA3" w:rsidRDefault="00520CA3" w:rsidP="0045051D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EA3F65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’objectif du </w:t>
            </w: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recrutement d’un consultant individuel en genre et droits humains est d</w:t>
            </w:r>
            <w:r w:rsidR="00EA3F65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’assurer le renforcement de capacités et le suivi des activités de protection contre les Violences basées sur le genre, et </w:t>
            </w:r>
            <w:r w:rsidR="001D5B44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r w:rsidR="00EA3F65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promotion et protection des droits des personnes handicapées dans le cadre du projet Conjoint au niveau de la région </w:t>
            </w:r>
            <w:proofErr w:type="spellStart"/>
            <w:r w:rsidR="00EA3F65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Anosy</w:t>
            </w:r>
            <w:proofErr w:type="spellEnd"/>
            <w:r w:rsidR="00757833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F28BBD8" w14:textId="46185E5D" w:rsidR="0045051D" w:rsidRPr="0045051D" w:rsidRDefault="0045051D" w:rsidP="0045051D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F675D" w:rsidRPr="0045051D" w14:paraId="3453E827" w14:textId="77777777" w:rsidTr="00EC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3DE2DEC1" w14:textId="77777777" w:rsidR="00860EAB" w:rsidRPr="0045051D" w:rsidRDefault="00860EAB" w:rsidP="0045051D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Scope of </w:t>
            </w:r>
            <w:proofErr w:type="spellStart"/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work</w:t>
            </w:r>
            <w:proofErr w:type="spellEnd"/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81" w:type="dxa"/>
            <w:shd w:val="clear" w:color="auto" w:fill="FFFFFF" w:themeFill="background1"/>
          </w:tcPr>
          <w:p w14:paraId="7C48DBB4" w14:textId="77777777" w:rsidR="00EC5AFD" w:rsidRPr="0045051D" w:rsidRDefault="00520CA3" w:rsidP="0045051D">
            <w:pPr>
              <w:pStyle w:val="ListParagraph"/>
              <w:shd w:val="clear" w:color="auto" w:fill="FFFFFF" w:themeFill="background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Le/la consultant individuel effectuera les tâches suivantes : </w:t>
            </w:r>
          </w:p>
          <w:p w14:paraId="15DF85DA" w14:textId="59719323" w:rsidR="00EA3F65" w:rsidRPr="0045051D" w:rsidRDefault="00F07303" w:rsidP="0045051D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051D">
              <w:rPr>
                <w:rFonts w:ascii="Arial" w:hAnsi="Arial" w:cs="Arial"/>
                <w:b/>
                <w:color w:val="auto"/>
                <w:sz w:val="20"/>
                <w:szCs w:val="20"/>
              </w:rPr>
              <w:t>A</w:t>
            </w:r>
            <w:r w:rsidR="001D5B44" w:rsidRPr="0045051D">
              <w:rPr>
                <w:rFonts w:ascii="Arial" w:hAnsi="Arial" w:cs="Arial"/>
                <w:b/>
                <w:color w:val="auto"/>
                <w:sz w:val="20"/>
                <w:szCs w:val="20"/>
              </w:rPr>
              <w:t>ppuyer l</w:t>
            </w:r>
            <w:r w:rsidR="00520CA3" w:rsidRPr="0045051D">
              <w:rPr>
                <w:rFonts w:ascii="Arial" w:hAnsi="Arial" w:cs="Arial"/>
                <w:b/>
                <w:color w:val="auto"/>
                <w:sz w:val="20"/>
                <w:szCs w:val="20"/>
              </w:rPr>
              <w:t>a mise à disposition de service d’écoute et</w:t>
            </w:r>
            <w:r w:rsidR="003016EC" w:rsidRPr="0045051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 conseils aux victimes de </w:t>
            </w:r>
            <w:r w:rsidR="00EA3F65" w:rsidRPr="0045051D">
              <w:rPr>
                <w:rFonts w:ascii="Arial" w:hAnsi="Arial" w:cs="Arial"/>
                <w:b/>
                <w:color w:val="auto"/>
                <w:sz w:val="20"/>
                <w:szCs w:val="20"/>
              </w:rPr>
              <w:t>Violences basées sur le genre</w:t>
            </w:r>
            <w:r w:rsidR="00EA3F65"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 y compris les personnes handicapées et celle victimes d’abus et d’exploitation sexuelle</w:t>
            </w:r>
          </w:p>
          <w:p w14:paraId="1733D454" w14:textId="07AC91CA" w:rsidR="00757833" w:rsidRPr="0045051D" w:rsidRDefault="001D5B44" w:rsidP="0045051D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Appuyer le renforcement des </w:t>
            </w:r>
            <w:r w:rsidR="00757833"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capacités des acteurs (chefs </w:t>
            </w:r>
            <w:proofErr w:type="spellStart"/>
            <w:r w:rsidR="00757833" w:rsidRPr="0045051D">
              <w:rPr>
                <w:rFonts w:ascii="Arial" w:hAnsi="Arial" w:cs="Arial"/>
                <w:color w:val="auto"/>
                <w:sz w:val="20"/>
                <w:szCs w:val="20"/>
              </w:rPr>
              <w:t>Fokontany</w:t>
            </w:r>
            <w:proofErr w:type="spellEnd"/>
            <w:r w:rsidR="00757833" w:rsidRPr="0045051D">
              <w:rPr>
                <w:rFonts w:ascii="Arial" w:hAnsi="Arial" w:cs="Arial"/>
                <w:color w:val="auto"/>
                <w:sz w:val="20"/>
                <w:szCs w:val="20"/>
              </w:rPr>
              <w:t>, Police, Gendarmerie, Santé, magistrats</w:t>
            </w:r>
            <w:r w:rsidR="003016EC" w:rsidRPr="0045051D">
              <w:rPr>
                <w:rFonts w:ascii="Arial" w:hAnsi="Arial" w:cs="Arial"/>
                <w:color w:val="auto"/>
                <w:sz w:val="20"/>
                <w:szCs w:val="20"/>
              </w:rPr>
              <w:t>, intervenants sociaux</w:t>
            </w:r>
            <w:r w:rsidR="00757833" w:rsidRPr="0045051D">
              <w:rPr>
                <w:rFonts w:ascii="Arial" w:hAnsi="Arial" w:cs="Arial"/>
                <w:color w:val="auto"/>
                <w:sz w:val="20"/>
                <w:szCs w:val="20"/>
              </w:rPr>
              <w:t>) sur la protection co</w:t>
            </w:r>
            <w:r w:rsidR="00D7504C"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ntre les VBG et </w:t>
            </w:r>
            <w:r w:rsidR="00757833" w:rsidRPr="0045051D">
              <w:rPr>
                <w:rFonts w:ascii="Arial" w:hAnsi="Arial" w:cs="Arial"/>
                <w:color w:val="auto"/>
                <w:sz w:val="20"/>
                <w:szCs w:val="20"/>
              </w:rPr>
              <w:t>droits humains incluant CE</w:t>
            </w:r>
            <w:r w:rsidR="003016EC" w:rsidRPr="0045051D">
              <w:rPr>
                <w:rFonts w:ascii="Arial" w:hAnsi="Arial" w:cs="Arial"/>
                <w:color w:val="auto"/>
                <w:sz w:val="20"/>
                <w:szCs w:val="20"/>
              </w:rPr>
              <w:t>CJ et antenne MPPSPF en gestion de cas</w:t>
            </w:r>
            <w:r w:rsidR="00F07303"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3016EC" w:rsidRPr="0045051D">
              <w:rPr>
                <w:rFonts w:ascii="Arial" w:hAnsi="Arial" w:cs="Arial"/>
                <w:color w:val="auto"/>
                <w:sz w:val="20"/>
                <w:szCs w:val="20"/>
              </w:rPr>
              <w:t>prise</w:t>
            </w:r>
            <w:r w:rsidR="00757833"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 en charge</w:t>
            </w:r>
            <w:r w:rsidR="00F07303"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 et référence</w:t>
            </w:r>
            <w:r w:rsidR="00757833"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 des victimes VBG au niveau des communes et des </w:t>
            </w:r>
            <w:r w:rsidR="00D7504C" w:rsidRPr="0045051D">
              <w:rPr>
                <w:rFonts w:ascii="Arial" w:hAnsi="Arial" w:cs="Arial"/>
                <w:color w:val="auto"/>
                <w:sz w:val="20"/>
                <w:szCs w:val="20"/>
              </w:rPr>
              <w:t>chefs-lieux</w:t>
            </w:r>
            <w:r w:rsidR="00757833"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 de district et </w:t>
            </w:r>
            <w:proofErr w:type="spellStart"/>
            <w:r w:rsidR="00757833" w:rsidRPr="0045051D">
              <w:rPr>
                <w:rFonts w:ascii="Arial" w:hAnsi="Arial" w:cs="Arial"/>
                <w:color w:val="auto"/>
                <w:sz w:val="20"/>
                <w:szCs w:val="20"/>
              </w:rPr>
              <w:t>region</w:t>
            </w:r>
            <w:proofErr w:type="spellEnd"/>
            <w:r w:rsidR="00757833" w:rsidRPr="0045051D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0479FB40" w14:textId="03560CC0" w:rsidR="00520CA3" w:rsidRPr="0045051D" w:rsidRDefault="00520CA3" w:rsidP="0045051D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auto"/>
                <w:sz w:val="20"/>
                <w:szCs w:val="20"/>
              </w:rPr>
              <w:t>Fournir une assistance aux CECJ d’affectation pour assurer la prise en charge psychosociale et juridique, l’accompagnement médical et judiciaire</w:t>
            </w:r>
          </w:p>
          <w:p w14:paraId="0E2250B3" w14:textId="77777777" w:rsidR="00520CA3" w:rsidRPr="0045051D" w:rsidRDefault="00520CA3" w:rsidP="0045051D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Assister les CECJ d’affectation à mettre en place des outils standards </w:t>
            </w:r>
            <w:proofErr w:type="gramStart"/>
            <w:r w:rsidRPr="0045051D">
              <w:rPr>
                <w:rFonts w:ascii="Arial" w:hAnsi="Arial" w:cs="Arial"/>
                <w:color w:val="auto"/>
                <w:sz w:val="20"/>
                <w:szCs w:val="20"/>
              </w:rPr>
              <w:t>nécessaire</w:t>
            </w:r>
            <w:proofErr w:type="gramEnd"/>
            <w:r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 à la gestion et au suivi des cas de VBG</w:t>
            </w:r>
          </w:p>
          <w:p w14:paraId="39F4E75A" w14:textId="41D47C29" w:rsidR="00520CA3" w:rsidRPr="0045051D" w:rsidRDefault="00520CA3" w:rsidP="0045051D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Soutenir les activités de mobilisation </w:t>
            </w:r>
            <w:r w:rsidR="001D5B44"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sociale </w:t>
            </w:r>
            <w:r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et de sensibilisation effectuées par les CECJ d’affectation </w:t>
            </w:r>
          </w:p>
          <w:p w14:paraId="5E159ECE" w14:textId="77777777" w:rsidR="00520CA3" w:rsidRPr="0045051D" w:rsidRDefault="00520CA3" w:rsidP="0045051D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Assister les CECJ dans la collecte et le traitement des données sur les VBG et à exploiter la base des données mis à leur disposition </w:t>
            </w:r>
          </w:p>
          <w:p w14:paraId="7ADC9F71" w14:textId="77777777" w:rsidR="00520CA3" w:rsidRPr="0045051D" w:rsidRDefault="00520CA3" w:rsidP="0045051D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5051D">
              <w:rPr>
                <w:rFonts w:ascii="Arial" w:hAnsi="Arial" w:cs="Arial"/>
                <w:b/>
                <w:color w:val="auto"/>
                <w:sz w:val="20"/>
                <w:szCs w:val="20"/>
              </w:rPr>
              <w:t>Support à l’opérationnalisation de la Plateforme régionale de lutte contre les VBG</w:t>
            </w:r>
          </w:p>
          <w:p w14:paraId="3B70D90A" w14:textId="613140FC" w:rsidR="00873B5D" w:rsidRPr="0045051D" w:rsidRDefault="00873B5D" w:rsidP="0045051D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Renforcer les capacités des membres de la plateforme en </w:t>
            </w:r>
            <w:r w:rsidR="00D7504C" w:rsidRPr="0045051D">
              <w:rPr>
                <w:rFonts w:ascii="Arial" w:hAnsi="Arial" w:cs="Arial"/>
                <w:color w:val="auto"/>
                <w:sz w:val="20"/>
                <w:szCs w:val="20"/>
              </w:rPr>
              <w:t>matière</w:t>
            </w:r>
            <w:r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 de VBG et PSEA, et appuyer l'intégration des plateformes VBG dans le Groupe Technique de Protection Sociale régionale</w:t>
            </w:r>
          </w:p>
          <w:p w14:paraId="2F695667" w14:textId="29DAB401" w:rsidR="00520CA3" w:rsidRPr="0045051D" w:rsidRDefault="00520CA3" w:rsidP="0045051D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Assister la direction régionale de la population, de la protection sociale et de la promotion de la femme dans la planification opérationnelle des activités de la plateforme régionale </w:t>
            </w:r>
            <w:r w:rsidR="00861FC7" w:rsidRPr="0045051D">
              <w:rPr>
                <w:rFonts w:ascii="Arial" w:hAnsi="Arial" w:cs="Arial"/>
                <w:color w:val="auto"/>
                <w:sz w:val="20"/>
                <w:szCs w:val="20"/>
              </w:rPr>
              <w:t>VBG</w:t>
            </w:r>
          </w:p>
          <w:p w14:paraId="1A190FAB" w14:textId="5A7CA966" w:rsidR="00AE42D6" w:rsidRPr="0045051D" w:rsidRDefault="00AE42D6" w:rsidP="0045051D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5051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Suivi sur terrain  </w:t>
            </w:r>
          </w:p>
          <w:p w14:paraId="77879747" w14:textId="21C2016D" w:rsidR="001D5B44" w:rsidRPr="0045051D" w:rsidRDefault="001D5B44" w:rsidP="0045051D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Soutenir la mise en œuvre et le suivi des activités planifiées </w:t>
            </w:r>
          </w:p>
          <w:p w14:paraId="43770648" w14:textId="5A535BD6" w:rsidR="00AE42D6" w:rsidRPr="0045051D" w:rsidRDefault="00AE42D6" w:rsidP="0045051D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Identifier les besoins des partenaires locaux en renforcement des capacités en matière de genre, </w:t>
            </w:r>
            <w:r w:rsidR="00861FC7"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et </w:t>
            </w:r>
            <w:r w:rsidRPr="0045051D">
              <w:rPr>
                <w:rFonts w:ascii="Arial" w:hAnsi="Arial" w:cs="Arial"/>
                <w:color w:val="auto"/>
                <w:sz w:val="20"/>
                <w:szCs w:val="20"/>
              </w:rPr>
              <w:t>droits humains, proposer un pla</w:t>
            </w:r>
            <w:r w:rsidR="00861FC7"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n de renforcement des capacités, </w:t>
            </w:r>
            <w:r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et contribuer à la mise en œuvre de ce plan </w:t>
            </w:r>
          </w:p>
          <w:p w14:paraId="7BF954C6" w14:textId="77777777" w:rsidR="00861FC7" w:rsidRPr="0045051D" w:rsidRDefault="00861FC7" w:rsidP="0045051D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Contribuer à l’élaboration et à la soumission, dans les délais des rapports de qualité et des pièces nécessaires au suivi programmatique et financier </w:t>
            </w:r>
          </w:p>
          <w:p w14:paraId="0B49CAB2" w14:textId="41011953" w:rsidR="00AE42D6" w:rsidRPr="0045051D" w:rsidRDefault="00AE42D6" w:rsidP="0045051D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auto"/>
                <w:sz w:val="20"/>
                <w:szCs w:val="20"/>
              </w:rPr>
              <w:t>Toutes autres tâches confiées par l’UNFPA</w:t>
            </w:r>
          </w:p>
          <w:p w14:paraId="169D8715" w14:textId="0CCCFF43" w:rsidR="00520CA3" w:rsidRPr="0045051D" w:rsidRDefault="00520CA3" w:rsidP="0045051D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F675D" w:rsidRPr="0045051D" w14:paraId="5E5FB313" w14:textId="77777777" w:rsidTr="00EC5A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11FDEA80" w14:textId="7D6B9A9C" w:rsidR="00860EAB" w:rsidRPr="0045051D" w:rsidRDefault="00860EAB" w:rsidP="0045051D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81" w:type="dxa"/>
            <w:shd w:val="clear" w:color="auto" w:fill="FFFFFF" w:themeFill="background1"/>
          </w:tcPr>
          <w:p w14:paraId="7AEB7A0D" w14:textId="2E00B763" w:rsidR="00860EAB" w:rsidRPr="0045051D" w:rsidRDefault="007E5AFA" w:rsidP="0045051D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La durée</w:t>
            </w:r>
            <w:r w:rsidR="0068046E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la consultation est de </w:t>
            </w:r>
            <w:r w:rsidR="00AE42D6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="003E595E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mois renouvelable</w:t>
            </w:r>
            <w:r w:rsidR="00684B70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202DA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à compter de la date de signa</w:t>
            </w:r>
            <w:r w:rsidR="00333852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ture du contrat.</w:t>
            </w:r>
          </w:p>
          <w:p w14:paraId="6C881AEB" w14:textId="07464E45" w:rsidR="00D7504C" w:rsidRPr="0045051D" w:rsidRDefault="00D7504C" w:rsidP="0045051D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355FB8" w14:textId="3112F65C" w:rsidR="00D7504C" w:rsidRPr="0045051D" w:rsidRDefault="00D7504C" w:rsidP="0045051D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45051D">
              <w:rPr>
                <w:rFonts w:ascii="Arial" w:hAnsi="Arial" w:cs="Arial"/>
                <w:color w:val="auto"/>
                <w:sz w:val="20"/>
                <w:szCs w:val="20"/>
              </w:rPr>
              <w:t>Le(</w:t>
            </w:r>
            <w:proofErr w:type="gramEnd"/>
            <w:r w:rsidRPr="0045051D">
              <w:rPr>
                <w:rFonts w:ascii="Arial" w:hAnsi="Arial" w:cs="Arial"/>
                <w:color w:val="auto"/>
                <w:sz w:val="20"/>
                <w:szCs w:val="20"/>
              </w:rPr>
              <w:t>la) consultant est basé(e)</w:t>
            </w:r>
            <w:r w:rsidR="004E210E"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 dans le district d’</w:t>
            </w:r>
            <w:proofErr w:type="spellStart"/>
            <w:r w:rsidR="004E210E" w:rsidRPr="0045051D">
              <w:rPr>
                <w:rFonts w:ascii="Arial" w:hAnsi="Arial" w:cs="Arial"/>
                <w:color w:val="auto"/>
                <w:sz w:val="20"/>
                <w:szCs w:val="20"/>
              </w:rPr>
              <w:t>Amboasary</w:t>
            </w:r>
            <w:proofErr w:type="spellEnd"/>
            <w:r w:rsidR="004E210E"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 à </w:t>
            </w:r>
            <w:proofErr w:type="spellStart"/>
            <w:r w:rsidR="004E210E" w:rsidRPr="0045051D">
              <w:rPr>
                <w:rFonts w:ascii="Arial" w:hAnsi="Arial" w:cs="Arial"/>
                <w:color w:val="auto"/>
                <w:sz w:val="20"/>
                <w:szCs w:val="20"/>
              </w:rPr>
              <w:t>Anosy</w:t>
            </w:r>
            <w:proofErr w:type="spellEnd"/>
          </w:p>
          <w:p w14:paraId="5519EB2B" w14:textId="17282A4D" w:rsidR="007E5AFA" w:rsidRPr="0045051D" w:rsidRDefault="007E5AFA" w:rsidP="0045051D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675D" w:rsidRPr="0045051D" w14:paraId="056263DF" w14:textId="77777777" w:rsidTr="00EC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1865D3AB" w14:textId="77777777" w:rsidR="00860EAB" w:rsidRPr="0045051D" w:rsidRDefault="00B510C9" w:rsidP="0045051D">
            <w:pPr>
              <w:shd w:val="clear" w:color="auto" w:fill="FFFFFF" w:themeFill="background1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Delivery dates and how work will be delivered</w:t>
            </w:r>
          </w:p>
        </w:tc>
        <w:tc>
          <w:tcPr>
            <w:tcW w:w="8381" w:type="dxa"/>
            <w:shd w:val="clear" w:color="auto" w:fill="FFFFFF" w:themeFill="background1"/>
          </w:tcPr>
          <w:p w14:paraId="294E1053" w14:textId="77777777" w:rsidR="00AE42D6" w:rsidRPr="0045051D" w:rsidRDefault="00AE42D6" w:rsidP="0045051D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Rapport mensuel d’activité</w:t>
            </w:r>
          </w:p>
          <w:p w14:paraId="52FB1506" w14:textId="5071A6C7" w:rsidR="00AE42D6" w:rsidRPr="0045051D" w:rsidRDefault="00AE42D6" w:rsidP="0045051D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Rapport annuel d’activités à la fin du contrat </w:t>
            </w:r>
          </w:p>
        </w:tc>
      </w:tr>
      <w:tr w:rsidR="00DF675D" w:rsidRPr="0045051D" w14:paraId="7D57F066" w14:textId="77777777" w:rsidTr="00EC5A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2A9E0993" w14:textId="77777777" w:rsidR="003E7701" w:rsidRPr="0045051D" w:rsidRDefault="003E7701" w:rsidP="0045051D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Supervisory arrangements: </w:t>
            </w:r>
          </w:p>
        </w:tc>
        <w:tc>
          <w:tcPr>
            <w:tcW w:w="8381" w:type="dxa"/>
            <w:shd w:val="clear" w:color="auto" w:fill="FFFFFF" w:themeFill="background1"/>
          </w:tcPr>
          <w:p w14:paraId="5FB0FEFC" w14:textId="629C9D8E" w:rsidR="00864F10" w:rsidRPr="0045051D" w:rsidRDefault="003E7701" w:rsidP="0045051D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366E81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4D7CF5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/la</w:t>
            </w: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66E81"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consultant(e) travaille sous l’autorité </w:t>
            </w:r>
            <w:r w:rsidR="004E210E"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générale </w:t>
            </w:r>
            <w:r w:rsidR="00366E81" w:rsidRPr="0045051D">
              <w:rPr>
                <w:rFonts w:ascii="Arial" w:hAnsi="Arial" w:cs="Arial"/>
                <w:color w:val="auto"/>
                <w:sz w:val="20"/>
                <w:szCs w:val="20"/>
              </w:rPr>
              <w:t>du Représentant de l’UNFPA</w:t>
            </w:r>
            <w:r w:rsidR="005045B9"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C140D" w:rsidRPr="0045051D">
              <w:rPr>
                <w:rFonts w:ascii="Arial" w:hAnsi="Arial" w:cs="Arial"/>
                <w:color w:val="auto"/>
                <w:sz w:val="20"/>
                <w:szCs w:val="20"/>
              </w:rPr>
              <w:t>et</w:t>
            </w:r>
            <w:r w:rsidR="00366E81"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D5B44"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la supervision directe </w:t>
            </w:r>
            <w:r w:rsidR="004E210E" w:rsidRPr="0045051D">
              <w:rPr>
                <w:rFonts w:ascii="Arial" w:hAnsi="Arial" w:cs="Arial"/>
                <w:color w:val="auto"/>
                <w:sz w:val="20"/>
                <w:szCs w:val="20"/>
              </w:rPr>
              <w:t>du</w:t>
            </w:r>
            <w:r w:rsidR="00AE42D6"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 chef de bureau régional de Toliara </w:t>
            </w:r>
            <w:r w:rsidR="001D5B44"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en collaboration avec </w:t>
            </w:r>
            <w:r w:rsidR="00AE42D6"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la Chargé de Programme Genre </w:t>
            </w:r>
            <w:r w:rsidR="001D5B44" w:rsidRPr="0045051D">
              <w:rPr>
                <w:rFonts w:ascii="Arial" w:hAnsi="Arial" w:cs="Arial"/>
                <w:color w:val="auto"/>
                <w:sz w:val="20"/>
                <w:szCs w:val="20"/>
              </w:rPr>
              <w:t xml:space="preserve">et le conseiller principal en santé de la </w:t>
            </w:r>
            <w:r w:rsidR="0045051D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reproduction</w:t>
            </w:r>
          </w:p>
          <w:p w14:paraId="0BE222A6" w14:textId="10A3318F" w:rsidR="00EC5AFD" w:rsidRPr="0045051D" w:rsidRDefault="00EC5AFD" w:rsidP="0045051D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675D" w:rsidRPr="0045051D" w14:paraId="49F2F779" w14:textId="77777777" w:rsidTr="00EC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31AE7ECE" w14:textId="77777777" w:rsidR="00366E81" w:rsidRPr="0045051D" w:rsidRDefault="00366E81" w:rsidP="0045051D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Expected travel </w:t>
            </w:r>
          </w:p>
        </w:tc>
        <w:tc>
          <w:tcPr>
            <w:tcW w:w="8381" w:type="dxa"/>
            <w:shd w:val="clear" w:color="auto" w:fill="FFFFFF" w:themeFill="background1"/>
          </w:tcPr>
          <w:p w14:paraId="1BDDEAA4" w14:textId="13862ECD" w:rsidR="00366E81" w:rsidRPr="0045051D" w:rsidRDefault="004D7CF5" w:rsidP="0045051D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Le/la</w:t>
            </w:r>
            <w:r w:rsidR="00BF3342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consultant(e) </w:t>
            </w:r>
            <w:r w:rsidR="00881C27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pourra être </w:t>
            </w: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amené(e)</w:t>
            </w:r>
            <w:r w:rsidR="00BF3342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à voyager</w:t>
            </w:r>
            <w:r w:rsidR="0045051D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 niveau des </w:t>
            </w:r>
            <w:r w:rsidR="00AE42D6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communes environnantes de sa zone d’affection </w:t>
            </w:r>
          </w:p>
          <w:p w14:paraId="0E436128" w14:textId="52337A0B" w:rsidR="00EC5AFD" w:rsidRPr="0045051D" w:rsidRDefault="00EC5AFD" w:rsidP="0045051D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675D" w:rsidRPr="0045051D" w14:paraId="003033D7" w14:textId="77777777" w:rsidTr="00EC5A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090CC2CA" w14:textId="35A9C18A" w:rsidR="00C97CEE" w:rsidRPr="0045051D" w:rsidRDefault="00C97CEE" w:rsidP="0045051D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Required expertise, qualifications and competencies, </w:t>
            </w:r>
            <w:r w:rsidR="00EC5AFD" w:rsidRPr="0045051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including</w:t>
            </w: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language requirements</w:t>
            </w:r>
          </w:p>
        </w:tc>
        <w:tc>
          <w:tcPr>
            <w:tcW w:w="8381" w:type="dxa"/>
            <w:shd w:val="clear" w:color="auto" w:fill="FFFFFF" w:themeFill="background1"/>
          </w:tcPr>
          <w:p w14:paraId="13574CF9" w14:textId="2F84D754" w:rsidR="00EC5AFD" w:rsidRPr="0045051D" w:rsidRDefault="00C1795F" w:rsidP="0045051D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Etre titulaire d’un diplôme </w:t>
            </w:r>
            <w:r w:rsidR="0045051D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License </w:t>
            </w: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en science juridique</w:t>
            </w:r>
          </w:p>
          <w:p w14:paraId="1EEE032E" w14:textId="77777777" w:rsidR="00C1795F" w:rsidRPr="0045051D" w:rsidRDefault="00C1795F" w:rsidP="0045051D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Avoir au moins deux années d’expériences dans le domaine de la lutte contre les VBG ou la protection des personnes vulnérables</w:t>
            </w:r>
          </w:p>
          <w:p w14:paraId="7316E242" w14:textId="77777777" w:rsidR="00C1795F" w:rsidRPr="0045051D" w:rsidRDefault="00C1795F" w:rsidP="0045051D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Avoir une bonne connaissance du problème de genre à Madagascar et spécifiquement de la région d’affectation </w:t>
            </w:r>
          </w:p>
          <w:p w14:paraId="0599A229" w14:textId="77777777" w:rsidR="00C1795F" w:rsidRPr="0045051D" w:rsidRDefault="00C1795F" w:rsidP="0045051D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Une première expérience de travail dans la région d’affectation serait un atout</w:t>
            </w:r>
          </w:p>
          <w:p w14:paraId="38AA4CB1" w14:textId="0AE4C951" w:rsidR="00C1795F" w:rsidRPr="0045051D" w:rsidRDefault="00C1795F" w:rsidP="0045051D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Avoir une bonne communication verbale et écrite en Malgache et en Fra</w:t>
            </w:r>
            <w:r w:rsidR="004E210E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çais et bonne capacité de travailler en anglais</w:t>
            </w:r>
          </w:p>
          <w:p w14:paraId="51AE828E" w14:textId="6EF68330" w:rsidR="00C1795F" w:rsidRPr="0045051D" w:rsidRDefault="00C1795F" w:rsidP="0045051D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Avoir une bonne maîtrise </w:t>
            </w:r>
            <w:r w:rsidR="0045051D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des applications bureautiques courantes</w:t>
            </w: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(Word, Excel, power poi</w:t>
            </w:r>
            <w:r w:rsidR="004E210E"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t) </w:t>
            </w:r>
          </w:p>
          <w:p w14:paraId="578ABAE1" w14:textId="141AE6B7" w:rsidR="00C1795F" w:rsidRPr="0045051D" w:rsidRDefault="00C1795F" w:rsidP="0045051D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>Avoir des capacités de travailler sous pression </w:t>
            </w:r>
          </w:p>
        </w:tc>
      </w:tr>
      <w:tr w:rsidR="00DF675D" w:rsidRPr="0045051D" w14:paraId="3A269699" w14:textId="77777777" w:rsidTr="00EC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54417A5F" w14:textId="77777777" w:rsidR="00BF6899" w:rsidRPr="0045051D" w:rsidRDefault="00BF6899" w:rsidP="0045051D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Inputs/services to be provided by UNFPA or implementing partner, if applicable</w:t>
            </w:r>
          </w:p>
        </w:tc>
        <w:tc>
          <w:tcPr>
            <w:tcW w:w="8381" w:type="dxa"/>
            <w:shd w:val="clear" w:color="auto" w:fill="FFFFFF" w:themeFill="background1"/>
          </w:tcPr>
          <w:p w14:paraId="6F00825A" w14:textId="085D8575" w:rsidR="00BF6899" w:rsidRPr="0045051D" w:rsidRDefault="00881C27" w:rsidP="0045051D">
            <w:pPr>
              <w:shd w:val="clear" w:color="auto" w:fill="FFFFFF" w:themeFill="background1"/>
              <w:tabs>
                <w:tab w:val="left" w:pos="-720"/>
              </w:tabs>
              <w:suppressAutoHyphens/>
              <w:spacing w:before="4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5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L’UNFPA fournira un </w:t>
            </w:r>
            <w:r w:rsidR="00BF6899" w:rsidRPr="0045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ordinateur portable et les fournitures de bureau nécessaires à la mise en œuvre des activités. </w:t>
            </w:r>
          </w:p>
          <w:p w14:paraId="409FC4FA" w14:textId="77777777" w:rsidR="00BF6899" w:rsidRPr="0045051D" w:rsidRDefault="00BF6899" w:rsidP="0045051D">
            <w:pPr>
              <w:shd w:val="clear" w:color="auto" w:fill="FFFFFF" w:themeFill="background1"/>
              <w:tabs>
                <w:tab w:val="left" w:pos="-720"/>
              </w:tabs>
              <w:suppressAutoHyphens/>
              <w:spacing w:before="4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L’UNFPA fournira également les moyens de communication, notamment un forfait de crédit de télé</w:t>
            </w:r>
            <w:r w:rsidR="00DC55FB" w:rsidRPr="0045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phone et la connexion internet et </w:t>
            </w:r>
            <w:r w:rsidRPr="0045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les moyens de déplacement nécessaire à la mise en œuvre des activités au niveau des </w:t>
            </w:r>
            <w:r w:rsidR="00EC5AFD" w:rsidRPr="0045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régions</w:t>
            </w:r>
            <w:r w:rsidRPr="004505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2F05CD7" w14:textId="78ED3F3B" w:rsidR="00EC5AFD" w:rsidRPr="0045051D" w:rsidRDefault="00EC5AFD" w:rsidP="0045051D">
            <w:pPr>
              <w:shd w:val="clear" w:color="auto" w:fill="FFFFFF" w:themeFill="background1"/>
              <w:tabs>
                <w:tab w:val="left" w:pos="-720"/>
              </w:tabs>
              <w:suppressAutoHyphens/>
              <w:spacing w:before="4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F675D" w:rsidRPr="0045051D" w14:paraId="56F11D62" w14:textId="77777777" w:rsidTr="00EC5A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</w:tcPr>
          <w:p w14:paraId="756C3F80" w14:textId="77777777" w:rsidR="00BF6899" w:rsidRPr="0045051D" w:rsidRDefault="00BF6899" w:rsidP="0045051D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5051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Other relevant information or special conditions if any: </w:t>
            </w:r>
          </w:p>
        </w:tc>
        <w:tc>
          <w:tcPr>
            <w:tcW w:w="8381" w:type="dxa"/>
            <w:shd w:val="clear" w:color="auto" w:fill="FFFFFF" w:themeFill="background1"/>
          </w:tcPr>
          <w:p w14:paraId="22261426" w14:textId="77777777" w:rsidR="00BF6899" w:rsidRPr="0045051D" w:rsidRDefault="00BF6899" w:rsidP="0045051D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29DFAB15" w14:textId="77777777" w:rsidR="0045051D" w:rsidRPr="0045051D" w:rsidRDefault="0045051D" w:rsidP="0045051D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04B2FDBA" w14:textId="77777777" w:rsidR="0045051D" w:rsidRPr="0045051D" w:rsidRDefault="0045051D" w:rsidP="0045051D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1BC8BC7" w14:textId="77777777" w:rsidR="0045051D" w:rsidRPr="0045051D" w:rsidRDefault="0045051D" w:rsidP="0045051D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194B4EE0" w14:textId="77777777" w:rsidR="0045051D" w:rsidRPr="0045051D" w:rsidRDefault="0045051D" w:rsidP="0045051D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54CCFC1F" w14:textId="77777777" w:rsidR="0045051D" w:rsidRPr="0045051D" w:rsidRDefault="0045051D" w:rsidP="0045051D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tbl>
      <w:tblPr>
        <w:tblW w:w="10811" w:type="dxa"/>
        <w:tblInd w:w="-703" w:type="dxa"/>
        <w:tblLayout w:type="fixed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5591"/>
        <w:gridCol w:w="5220"/>
      </w:tblGrid>
      <w:tr w:rsidR="0045051D" w:rsidRPr="0045051D" w14:paraId="5FD24ECE" w14:textId="77777777" w:rsidTr="0045051D">
        <w:tblPrEx>
          <w:tblCellMar>
            <w:top w:w="0" w:type="dxa"/>
            <w:bottom w:w="0" w:type="dxa"/>
          </w:tblCellMar>
        </w:tblPrEx>
        <w:tc>
          <w:tcPr>
            <w:tcW w:w="559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64B1B19" w14:textId="77777777" w:rsidR="0045051D" w:rsidRPr="0045051D" w:rsidRDefault="0045051D" w:rsidP="00AF41D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051D">
              <w:rPr>
                <w:rFonts w:ascii="Arial" w:hAnsi="Arial" w:cs="Arial"/>
                <w:sz w:val="20"/>
                <w:szCs w:val="20"/>
                <w:lang w:val="en-US"/>
              </w:rPr>
              <w:t xml:space="preserve">Signature of Head of Requesting Officer in Hiring Office </w:t>
            </w:r>
          </w:p>
          <w:p w14:paraId="3A5B7C14" w14:textId="77777777" w:rsidR="0045051D" w:rsidRPr="0045051D" w:rsidRDefault="0045051D" w:rsidP="00AF41D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B3D79E" w14:textId="77777777" w:rsidR="0045051D" w:rsidRPr="0045051D" w:rsidRDefault="0045051D" w:rsidP="00AF41D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63A5C3" w14:textId="77777777" w:rsidR="0045051D" w:rsidRPr="0045051D" w:rsidRDefault="0045051D" w:rsidP="00AF41D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5051D">
              <w:rPr>
                <w:rFonts w:ascii="Arial" w:hAnsi="Arial" w:cs="Arial"/>
                <w:sz w:val="20"/>
                <w:szCs w:val="20"/>
              </w:rPr>
              <w:t>Date: 12/12/2019</w:t>
            </w:r>
          </w:p>
          <w:p w14:paraId="11DAE9C2" w14:textId="77777777" w:rsidR="0045051D" w:rsidRPr="0045051D" w:rsidRDefault="0045051D" w:rsidP="00AF41D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64668A2" w14:textId="77777777" w:rsidR="0045051D" w:rsidRPr="0045051D" w:rsidRDefault="0045051D" w:rsidP="00AF41D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628C853" w14:textId="77777777" w:rsidR="0045051D" w:rsidRPr="0045051D" w:rsidRDefault="0045051D" w:rsidP="00AF41D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051D">
              <w:rPr>
                <w:rFonts w:ascii="Arial" w:hAnsi="Arial" w:cs="Arial"/>
                <w:sz w:val="20"/>
                <w:szCs w:val="20"/>
                <w:lang w:val="en-US"/>
              </w:rPr>
              <w:t>Signature of Approving Officer:</w:t>
            </w:r>
          </w:p>
          <w:p w14:paraId="0599D7D8" w14:textId="77777777" w:rsidR="0045051D" w:rsidRPr="0045051D" w:rsidRDefault="0045051D" w:rsidP="00AF41D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91DAB55" w14:textId="77777777" w:rsidR="0045051D" w:rsidRPr="0045051D" w:rsidRDefault="0045051D" w:rsidP="00AF41D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8E0ECC" w14:textId="77777777" w:rsidR="0045051D" w:rsidRPr="0045051D" w:rsidRDefault="0045051D" w:rsidP="00AF41D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051D">
              <w:rPr>
                <w:rFonts w:ascii="Arial" w:hAnsi="Arial" w:cs="Arial"/>
                <w:sz w:val="20"/>
                <w:szCs w:val="20"/>
                <w:lang w:val="en-US"/>
              </w:rPr>
              <w:t>Date: 12/12/2019</w:t>
            </w:r>
          </w:p>
          <w:p w14:paraId="28DA754A" w14:textId="77777777" w:rsidR="0045051D" w:rsidRPr="0045051D" w:rsidRDefault="0045051D" w:rsidP="00AF41D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4176301" w14:textId="77777777" w:rsidR="00D92FBD" w:rsidRPr="0045051D" w:rsidRDefault="00D92FBD" w:rsidP="0045051D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en-US"/>
        </w:rPr>
      </w:pPr>
    </w:p>
    <w:sectPr w:rsidR="00D92FBD" w:rsidRPr="0045051D" w:rsidSect="00CF52A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C49A3" w14:textId="77777777" w:rsidR="009841D6" w:rsidRDefault="009841D6" w:rsidP="003C779C">
      <w:pPr>
        <w:spacing w:after="0" w:line="240" w:lineRule="auto"/>
      </w:pPr>
      <w:r>
        <w:separator/>
      </w:r>
    </w:p>
  </w:endnote>
  <w:endnote w:type="continuationSeparator" w:id="0">
    <w:p w14:paraId="14823C8F" w14:textId="77777777" w:rsidR="009841D6" w:rsidRDefault="009841D6" w:rsidP="003C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007156"/>
      <w:docPartObj>
        <w:docPartGallery w:val="Page Numbers (Bottom of Page)"/>
        <w:docPartUnique/>
      </w:docPartObj>
    </w:sdtPr>
    <w:sdtEndPr/>
    <w:sdtContent>
      <w:p w14:paraId="124D3537" w14:textId="08A7F21A" w:rsidR="003C779C" w:rsidRDefault="003C779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51D">
          <w:rPr>
            <w:noProof/>
          </w:rPr>
          <w:t>1</w:t>
        </w:r>
        <w:r>
          <w:fldChar w:fldCharType="end"/>
        </w:r>
      </w:p>
    </w:sdtContent>
  </w:sdt>
  <w:p w14:paraId="36FF44AA" w14:textId="77777777" w:rsidR="003C779C" w:rsidRDefault="003C7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D8636" w14:textId="77777777" w:rsidR="009841D6" w:rsidRDefault="009841D6" w:rsidP="003C779C">
      <w:pPr>
        <w:spacing w:after="0" w:line="240" w:lineRule="auto"/>
      </w:pPr>
      <w:r>
        <w:separator/>
      </w:r>
    </w:p>
  </w:footnote>
  <w:footnote w:type="continuationSeparator" w:id="0">
    <w:p w14:paraId="5FC73528" w14:textId="77777777" w:rsidR="009841D6" w:rsidRDefault="009841D6" w:rsidP="003C7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AEB"/>
    <w:multiLevelType w:val="hybridMultilevel"/>
    <w:tmpl w:val="D66ECA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1EB0"/>
    <w:multiLevelType w:val="hybridMultilevel"/>
    <w:tmpl w:val="11F65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A006A"/>
    <w:multiLevelType w:val="hybridMultilevel"/>
    <w:tmpl w:val="29480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5DB9"/>
    <w:multiLevelType w:val="hybridMultilevel"/>
    <w:tmpl w:val="4A609350"/>
    <w:lvl w:ilvl="0" w:tplc="B198BFF2">
      <w:numFmt w:val="bullet"/>
      <w:lvlText w:val="-"/>
      <w:lvlJc w:val="left"/>
      <w:pPr>
        <w:ind w:left="720" w:hanging="360"/>
      </w:pPr>
      <w:rPr>
        <w:rFonts w:ascii="Kalinga" w:eastAsiaTheme="minorHAnsi" w:hAnsi="Kalinga" w:cs="Kaling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5917"/>
    <w:multiLevelType w:val="multilevel"/>
    <w:tmpl w:val="2222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52C46"/>
    <w:multiLevelType w:val="hybridMultilevel"/>
    <w:tmpl w:val="614C334A"/>
    <w:lvl w:ilvl="0" w:tplc="B198BFF2">
      <w:numFmt w:val="bullet"/>
      <w:lvlText w:val="-"/>
      <w:lvlJc w:val="left"/>
      <w:pPr>
        <w:ind w:left="720" w:hanging="360"/>
      </w:pPr>
      <w:rPr>
        <w:rFonts w:ascii="Kalinga" w:eastAsiaTheme="minorHAnsi" w:hAnsi="Kalinga" w:cs="Kalinga" w:hint="default"/>
      </w:rPr>
    </w:lvl>
    <w:lvl w:ilvl="1" w:tplc="B198BFF2">
      <w:numFmt w:val="bullet"/>
      <w:lvlText w:val="-"/>
      <w:lvlJc w:val="left"/>
      <w:pPr>
        <w:ind w:left="1440" w:hanging="360"/>
      </w:pPr>
      <w:rPr>
        <w:rFonts w:ascii="Kalinga" w:eastAsiaTheme="minorHAnsi" w:hAnsi="Kalinga" w:cs="Kaling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C4B3D"/>
    <w:multiLevelType w:val="hybridMultilevel"/>
    <w:tmpl w:val="596294F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DA57122"/>
    <w:multiLevelType w:val="hybridMultilevel"/>
    <w:tmpl w:val="9086FB5A"/>
    <w:lvl w:ilvl="0" w:tplc="CA0A9E7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006E45"/>
    <w:multiLevelType w:val="hybridMultilevel"/>
    <w:tmpl w:val="22EAE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C222E"/>
    <w:multiLevelType w:val="hybridMultilevel"/>
    <w:tmpl w:val="B2C026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359D9"/>
    <w:multiLevelType w:val="hybridMultilevel"/>
    <w:tmpl w:val="63E4B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8BFF2">
      <w:numFmt w:val="bullet"/>
      <w:lvlText w:val="-"/>
      <w:lvlJc w:val="left"/>
      <w:pPr>
        <w:ind w:left="1440" w:hanging="360"/>
      </w:pPr>
      <w:rPr>
        <w:rFonts w:ascii="Kalinga" w:eastAsiaTheme="minorHAnsi" w:hAnsi="Kalinga" w:cs="Kaling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A4FDF"/>
    <w:multiLevelType w:val="hybridMultilevel"/>
    <w:tmpl w:val="2EEA2446"/>
    <w:lvl w:ilvl="0" w:tplc="1F32126E">
      <w:numFmt w:val="bullet"/>
      <w:lvlText w:val="-"/>
      <w:lvlJc w:val="left"/>
      <w:pPr>
        <w:ind w:left="720" w:hanging="360"/>
      </w:pPr>
      <w:rPr>
        <w:rFonts w:ascii="Kalinga" w:eastAsiaTheme="minorHAnsi" w:hAnsi="Kalinga" w:cs="Kaling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7228B"/>
    <w:multiLevelType w:val="hybridMultilevel"/>
    <w:tmpl w:val="E3FE3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606AF"/>
    <w:multiLevelType w:val="hybridMultilevel"/>
    <w:tmpl w:val="3A648E60"/>
    <w:lvl w:ilvl="0" w:tplc="1F32126E">
      <w:start w:val="12"/>
      <w:numFmt w:val="bullet"/>
      <w:lvlText w:val="-"/>
      <w:lvlJc w:val="left"/>
      <w:pPr>
        <w:ind w:left="720" w:hanging="360"/>
      </w:pPr>
      <w:rPr>
        <w:rFonts w:ascii="Kalinga" w:eastAsiaTheme="minorHAnsi" w:hAnsi="Kalinga" w:cs="Kaling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A5C0C"/>
    <w:multiLevelType w:val="hybridMultilevel"/>
    <w:tmpl w:val="214CA6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838B9"/>
    <w:multiLevelType w:val="hybridMultilevel"/>
    <w:tmpl w:val="C226B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E6D19"/>
    <w:multiLevelType w:val="hybridMultilevel"/>
    <w:tmpl w:val="4E6E4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B0AAC"/>
    <w:multiLevelType w:val="multilevel"/>
    <w:tmpl w:val="18CA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296E85"/>
    <w:multiLevelType w:val="hybridMultilevel"/>
    <w:tmpl w:val="725EDBDA"/>
    <w:lvl w:ilvl="0" w:tplc="1C3EBE9E">
      <w:start w:val="1"/>
      <w:numFmt w:val="bullet"/>
      <w:lvlText w:val="-"/>
      <w:lvlJc w:val="left"/>
      <w:pPr>
        <w:ind w:left="720" w:hanging="360"/>
      </w:pPr>
      <w:rPr>
        <w:rFonts w:ascii="Gill Sans MT" w:eastAsia="MS Mincho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217F9"/>
    <w:multiLevelType w:val="hybridMultilevel"/>
    <w:tmpl w:val="E4621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22A1C"/>
    <w:multiLevelType w:val="hybridMultilevel"/>
    <w:tmpl w:val="68D05BA6"/>
    <w:lvl w:ilvl="0" w:tplc="1F32126E">
      <w:start w:val="12"/>
      <w:numFmt w:val="bullet"/>
      <w:lvlText w:val="-"/>
      <w:lvlJc w:val="left"/>
      <w:pPr>
        <w:ind w:left="360" w:hanging="360"/>
      </w:pPr>
      <w:rPr>
        <w:rFonts w:ascii="Kalinga" w:eastAsiaTheme="minorHAnsi" w:hAnsi="Kalinga" w:cs="Kaling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613EAC"/>
    <w:multiLevelType w:val="hybridMultilevel"/>
    <w:tmpl w:val="623AC4AC"/>
    <w:lvl w:ilvl="0" w:tplc="76EA6162">
      <w:start w:val="2"/>
      <w:numFmt w:val="bullet"/>
      <w:lvlText w:val="-"/>
      <w:lvlJc w:val="left"/>
      <w:pPr>
        <w:ind w:left="720" w:hanging="360"/>
      </w:pPr>
      <w:rPr>
        <w:rFonts w:ascii="Kalinga" w:eastAsiaTheme="minorHAnsi" w:hAnsi="Kalinga" w:cs="Kaling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74318"/>
    <w:multiLevelType w:val="hybridMultilevel"/>
    <w:tmpl w:val="F8DEE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E243B"/>
    <w:multiLevelType w:val="hybridMultilevel"/>
    <w:tmpl w:val="8BF4B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9"/>
  </w:num>
  <w:num w:numId="5">
    <w:abstractNumId w:val="15"/>
  </w:num>
  <w:num w:numId="6">
    <w:abstractNumId w:val="16"/>
  </w:num>
  <w:num w:numId="7">
    <w:abstractNumId w:val="8"/>
  </w:num>
  <w:num w:numId="8">
    <w:abstractNumId w:val="2"/>
  </w:num>
  <w:num w:numId="9">
    <w:abstractNumId w:val="3"/>
  </w:num>
  <w:num w:numId="10">
    <w:abstractNumId w:val="23"/>
  </w:num>
  <w:num w:numId="11">
    <w:abstractNumId w:val="10"/>
  </w:num>
  <w:num w:numId="12">
    <w:abstractNumId w:val="0"/>
  </w:num>
  <w:num w:numId="13">
    <w:abstractNumId w:val="12"/>
  </w:num>
  <w:num w:numId="14">
    <w:abstractNumId w:val="1"/>
  </w:num>
  <w:num w:numId="15">
    <w:abstractNumId w:val="5"/>
  </w:num>
  <w:num w:numId="16">
    <w:abstractNumId w:val="11"/>
  </w:num>
  <w:num w:numId="17">
    <w:abstractNumId w:val="20"/>
  </w:num>
  <w:num w:numId="18">
    <w:abstractNumId w:val="4"/>
  </w:num>
  <w:num w:numId="19">
    <w:abstractNumId w:val="17"/>
  </w:num>
  <w:num w:numId="20">
    <w:abstractNumId w:val="18"/>
  </w:num>
  <w:num w:numId="21">
    <w:abstractNumId w:val="13"/>
  </w:num>
  <w:num w:numId="22">
    <w:abstractNumId w:val="7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69"/>
    <w:rsid w:val="00001360"/>
    <w:rsid w:val="000210D7"/>
    <w:rsid w:val="00024382"/>
    <w:rsid w:val="000465E8"/>
    <w:rsid w:val="000541CC"/>
    <w:rsid w:val="0006619C"/>
    <w:rsid w:val="000670D6"/>
    <w:rsid w:val="000C7C6B"/>
    <w:rsid w:val="000D32D4"/>
    <w:rsid w:val="000E6633"/>
    <w:rsid w:val="000E726D"/>
    <w:rsid w:val="00125445"/>
    <w:rsid w:val="00127E3F"/>
    <w:rsid w:val="00130CE7"/>
    <w:rsid w:val="0013188B"/>
    <w:rsid w:val="00135E50"/>
    <w:rsid w:val="001373D1"/>
    <w:rsid w:val="0013740A"/>
    <w:rsid w:val="00161333"/>
    <w:rsid w:val="00161FAD"/>
    <w:rsid w:val="00173062"/>
    <w:rsid w:val="00173E62"/>
    <w:rsid w:val="00182121"/>
    <w:rsid w:val="00192753"/>
    <w:rsid w:val="00192993"/>
    <w:rsid w:val="00195820"/>
    <w:rsid w:val="001A492C"/>
    <w:rsid w:val="001D201C"/>
    <w:rsid w:val="001D5315"/>
    <w:rsid w:val="001D5B44"/>
    <w:rsid w:val="002060B2"/>
    <w:rsid w:val="00236CA0"/>
    <w:rsid w:val="00247DE1"/>
    <w:rsid w:val="002B1969"/>
    <w:rsid w:val="002C1DBD"/>
    <w:rsid w:val="002D3869"/>
    <w:rsid w:val="002E27AF"/>
    <w:rsid w:val="002E542E"/>
    <w:rsid w:val="002F1EA4"/>
    <w:rsid w:val="003016EC"/>
    <w:rsid w:val="00311A0E"/>
    <w:rsid w:val="00311C15"/>
    <w:rsid w:val="003251F9"/>
    <w:rsid w:val="00331BF5"/>
    <w:rsid w:val="00333852"/>
    <w:rsid w:val="003439DC"/>
    <w:rsid w:val="003441B6"/>
    <w:rsid w:val="00355938"/>
    <w:rsid w:val="00360AE4"/>
    <w:rsid w:val="003617EF"/>
    <w:rsid w:val="00366E81"/>
    <w:rsid w:val="003712A9"/>
    <w:rsid w:val="00381342"/>
    <w:rsid w:val="00382E0A"/>
    <w:rsid w:val="00386F88"/>
    <w:rsid w:val="003A5997"/>
    <w:rsid w:val="003C779C"/>
    <w:rsid w:val="003C7E48"/>
    <w:rsid w:val="003D0BDD"/>
    <w:rsid w:val="003D64A7"/>
    <w:rsid w:val="003E16D5"/>
    <w:rsid w:val="003E595E"/>
    <w:rsid w:val="003E7701"/>
    <w:rsid w:val="003F1C1C"/>
    <w:rsid w:val="00406F3E"/>
    <w:rsid w:val="004229F4"/>
    <w:rsid w:val="00424425"/>
    <w:rsid w:val="0045051D"/>
    <w:rsid w:val="004541BB"/>
    <w:rsid w:val="0045691A"/>
    <w:rsid w:val="004670E9"/>
    <w:rsid w:val="00470C39"/>
    <w:rsid w:val="004B2CAA"/>
    <w:rsid w:val="004C7F18"/>
    <w:rsid w:val="004D7CF5"/>
    <w:rsid w:val="004D7D4A"/>
    <w:rsid w:val="004E210E"/>
    <w:rsid w:val="004E3B89"/>
    <w:rsid w:val="004F78CF"/>
    <w:rsid w:val="00500838"/>
    <w:rsid w:val="00503274"/>
    <w:rsid w:val="005045B9"/>
    <w:rsid w:val="005078C4"/>
    <w:rsid w:val="00520CA3"/>
    <w:rsid w:val="0053324C"/>
    <w:rsid w:val="00550A21"/>
    <w:rsid w:val="00551623"/>
    <w:rsid w:val="005729D0"/>
    <w:rsid w:val="005837B6"/>
    <w:rsid w:val="00587764"/>
    <w:rsid w:val="00587B94"/>
    <w:rsid w:val="005937E2"/>
    <w:rsid w:val="00593A7C"/>
    <w:rsid w:val="005B6A2D"/>
    <w:rsid w:val="005C140D"/>
    <w:rsid w:val="005D30AA"/>
    <w:rsid w:val="005E10FF"/>
    <w:rsid w:val="00616B30"/>
    <w:rsid w:val="00617D1D"/>
    <w:rsid w:val="00630DBA"/>
    <w:rsid w:val="00631373"/>
    <w:rsid w:val="00631E95"/>
    <w:rsid w:val="00634A56"/>
    <w:rsid w:val="006431D7"/>
    <w:rsid w:val="0064422D"/>
    <w:rsid w:val="00676E71"/>
    <w:rsid w:val="00677D88"/>
    <w:rsid w:val="0068046E"/>
    <w:rsid w:val="0068478C"/>
    <w:rsid w:val="00684B70"/>
    <w:rsid w:val="00686EF3"/>
    <w:rsid w:val="00695CBB"/>
    <w:rsid w:val="006A0752"/>
    <w:rsid w:val="006A30B9"/>
    <w:rsid w:val="006B6C6E"/>
    <w:rsid w:val="006C1B10"/>
    <w:rsid w:val="006C224B"/>
    <w:rsid w:val="006C51F8"/>
    <w:rsid w:val="006D4008"/>
    <w:rsid w:val="006E17B9"/>
    <w:rsid w:val="007104BD"/>
    <w:rsid w:val="00714318"/>
    <w:rsid w:val="00716181"/>
    <w:rsid w:val="007171E6"/>
    <w:rsid w:val="007525E4"/>
    <w:rsid w:val="00757833"/>
    <w:rsid w:val="00770057"/>
    <w:rsid w:val="00775D34"/>
    <w:rsid w:val="0078243D"/>
    <w:rsid w:val="00782E24"/>
    <w:rsid w:val="00790DD8"/>
    <w:rsid w:val="007A1E5E"/>
    <w:rsid w:val="007B30CA"/>
    <w:rsid w:val="007B523E"/>
    <w:rsid w:val="007B6405"/>
    <w:rsid w:val="007E5AFA"/>
    <w:rsid w:val="007E6F21"/>
    <w:rsid w:val="007F3B97"/>
    <w:rsid w:val="007F5030"/>
    <w:rsid w:val="00801744"/>
    <w:rsid w:val="008057FD"/>
    <w:rsid w:val="00807ED1"/>
    <w:rsid w:val="008109E5"/>
    <w:rsid w:val="00831D10"/>
    <w:rsid w:val="00845B17"/>
    <w:rsid w:val="0085363E"/>
    <w:rsid w:val="0085369E"/>
    <w:rsid w:val="00860EAB"/>
    <w:rsid w:val="008617F0"/>
    <w:rsid w:val="00861FC7"/>
    <w:rsid w:val="008631D6"/>
    <w:rsid w:val="00863C0F"/>
    <w:rsid w:val="00864F10"/>
    <w:rsid w:val="008711C0"/>
    <w:rsid w:val="00873B5D"/>
    <w:rsid w:val="00881C27"/>
    <w:rsid w:val="008867CF"/>
    <w:rsid w:val="008A129A"/>
    <w:rsid w:val="008B0371"/>
    <w:rsid w:val="008B72EE"/>
    <w:rsid w:val="008C7B12"/>
    <w:rsid w:val="008D0573"/>
    <w:rsid w:val="008D416F"/>
    <w:rsid w:val="008E29F9"/>
    <w:rsid w:val="008E354F"/>
    <w:rsid w:val="008E3988"/>
    <w:rsid w:val="008E6531"/>
    <w:rsid w:val="008F223D"/>
    <w:rsid w:val="009024F3"/>
    <w:rsid w:val="00910774"/>
    <w:rsid w:val="00916592"/>
    <w:rsid w:val="009268F1"/>
    <w:rsid w:val="00940B19"/>
    <w:rsid w:val="00942CE4"/>
    <w:rsid w:val="00950953"/>
    <w:rsid w:val="009634B3"/>
    <w:rsid w:val="0098025B"/>
    <w:rsid w:val="009841D6"/>
    <w:rsid w:val="009A45A9"/>
    <w:rsid w:val="009B3FD1"/>
    <w:rsid w:val="009C2A7E"/>
    <w:rsid w:val="009C7CFE"/>
    <w:rsid w:val="00A20865"/>
    <w:rsid w:val="00A27F64"/>
    <w:rsid w:val="00A34B90"/>
    <w:rsid w:val="00A37A1F"/>
    <w:rsid w:val="00A42585"/>
    <w:rsid w:val="00A46591"/>
    <w:rsid w:val="00A54A13"/>
    <w:rsid w:val="00A54B7C"/>
    <w:rsid w:val="00A55241"/>
    <w:rsid w:val="00A60EAD"/>
    <w:rsid w:val="00A81DF0"/>
    <w:rsid w:val="00A916E4"/>
    <w:rsid w:val="00AB58AF"/>
    <w:rsid w:val="00AC707D"/>
    <w:rsid w:val="00AD100E"/>
    <w:rsid w:val="00AD6A88"/>
    <w:rsid w:val="00AE42D6"/>
    <w:rsid w:val="00B12A43"/>
    <w:rsid w:val="00B17F2B"/>
    <w:rsid w:val="00B20283"/>
    <w:rsid w:val="00B267EE"/>
    <w:rsid w:val="00B420B8"/>
    <w:rsid w:val="00B4726A"/>
    <w:rsid w:val="00B510C9"/>
    <w:rsid w:val="00B6048D"/>
    <w:rsid w:val="00B608AE"/>
    <w:rsid w:val="00B62A94"/>
    <w:rsid w:val="00B6331E"/>
    <w:rsid w:val="00B63901"/>
    <w:rsid w:val="00B65712"/>
    <w:rsid w:val="00B75687"/>
    <w:rsid w:val="00B94C0E"/>
    <w:rsid w:val="00BA4FAD"/>
    <w:rsid w:val="00BA5161"/>
    <w:rsid w:val="00BB0C69"/>
    <w:rsid w:val="00BD68ED"/>
    <w:rsid w:val="00BF3342"/>
    <w:rsid w:val="00BF5AE2"/>
    <w:rsid w:val="00BF6899"/>
    <w:rsid w:val="00C15185"/>
    <w:rsid w:val="00C1795F"/>
    <w:rsid w:val="00C27982"/>
    <w:rsid w:val="00C34697"/>
    <w:rsid w:val="00C5633E"/>
    <w:rsid w:val="00C57CD2"/>
    <w:rsid w:val="00C841E4"/>
    <w:rsid w:val="00C9526A"/>
    <w:rsid w:val="00C97CEE"/>
    <w:rsid w:val="00CA19F2"/>
    <w:rsid w:val="00CA5478"/>
    <w:rsid w:val="00CC256D"/>
    <w:rsid w:val="00CD669A"/>
    <w:rsid w:val="00CD79AD"/>
    <w:rsid w:val="00CE2DDF"/>
    <w:rsid w:val="00CF3800"/>
    <w:rsid w:val="00CF52AB"/>
    <w:rsid w:val="00D05727"/>
    <w:rsid w:val="00D147E8"/>
    <w:rsid w:val="00D16124"/>
    <w:rsid w:val="00D22851"/>
    <w:rsid w:val="00D33724"/>
    <w:rsid w:val="00D43CEB"/>
    <w:rsid w:val="00D60872"/>
    <w:rsid w:val="00D7504C"/>
    <w:rsid w:val="00D82195"/>
    <w:rsid w:val="00D84B94"/>
    <w:rsid w:val="00D90C1C"/>
    <w:rsid w:val="00D92FBD"/>
    <w:rsid w:val="00DA409B"/>
    <w:rsid w:val="00DA6507"/>
    <w:rsid w:val="00DB3FFC"/>
    <w:rsid w:val="00DC00CE"/>
    <w:rsid w:val="00DC4E67"/>
    <w:rsid w:val="00DC55FB"/>
    <w:rsid w:val="00DC6F8F"/>
    <w:rsid w:val="00DD064F"/>
    <w:rsid w:val="00DD2F2D"/>
    <w:rsid w:val="00DD39E3"/>
    <w:rsid w:val="00DD691B"/>
    <w:rsid w:val="00DF0150"/>
    <w:rsid w:val="00DF675D"/>
    <w:rsid w:val="00E029C6"/>
    <w:rsid w:val="00E165AD"/>
    <w:rsid w:val="00E202DA"/>
    <w:rsid w:val="00E20519"/>
    <w:rsid w:val="00E262FA"/>
    <w:rsid w:val="00E31B31"/>
    <w:rsid w:val="00E32F85"/>
    <w:rsid w:val="00E4597E"/>
    <w:rsid w:val="00E51B75"/>
    <w:rsid w:val="00E5418B"/>
    <w:rsid w:val="00E62EC4"/>
    <w:rsid w:val="00E67B9A"/>
    <w:rsid w:val="00E76566"/>
    <w:rsid w:val="00E80F11"/>
    <w:rsid w:val="00E91FEF"/>
    <w:rsid w:val="00EA297A"/>
    <w:rsid w:val="00EA3F65"/>
    <w:rsid w:val="00EC5AFD"/>
    <w:rsid w:val="00ED2AB4"/>
    <w:rsid w:val="00ED79DF"/>
    <w:rsid w:val="00EF394C"/>
    <w:rsid w:val="00EF5B8F"/>
    <w:rsid w:val="00F05D14"/>
    <w:rsid w:val="00F07303"/>
    <w:rsid w:val="00F11AA0"/>
    <w:rsid w:val="00F32105"/>
    <w:rsid w:val="00F32E6E"/>
    <w:rsid w:val="00F4231A"/>
    <w:rsid w:val="00F60A31"/>
    <w:rsid w:val="00F73BCB"/>
    <w:rsid w:val="00F817A3"/>
    <w:rsid w:val="00F87628"/>
    <w:rsid w:val="00F90B77"/>
    <w:rsid w:val="00F92D55"/>
    <w:rsid w:val="00FA1C4D"/>
    <w:rsid w:val="00FA51E9"/>
    <w:rsid w:val="00FB0281"/>
    <w:rsid w:val="00FB02DC"/>
    <w:rsid w:val="00FB79A8"/>
    <w:rsid w:val="00FC2EF4"/>
    <w:rsid w:val="00FD6F09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4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26A"/>
    <w:pPr>
      <w:ind w:left="720"/>
      <w:contextualSpacing/>
    </w:pPr>
  </w:style>
  <w:style w:type="table" w:styleId="TableGrid">
    <w:name w:val="Table Grid"/>
    <w:basedOn w:val="TableNormal"/>
    <w:uiPriority w:val="39"/>
    <w:rsid w:val="0086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-Accentuation61">
    <w:name w:val="Tableau Grille 1 Clair - Accentuation 61"/>
    <w:basedOn w:val="TableNormal"/>
    <w:uiPriority w:val="46"/>
    <w:rsid w:val="003617E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2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A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79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9C"/>
  </w:style>
  <w:style w:type="paragraph" w:styleId="Footer">
    <w:name w:val="footer"/>
    <w:basedOn w:val="Normal"/>
    <w:link w:val="FooterChar"/>
    <w:uiPriority w:val="99"/>
    <w:unhideWhenUsed/>
    <w:rsid w:val="003C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79C"/>
  </w:style>
  <w:style w:type="paragraph" w:styleId="NormalWeb">
    <w:name w:val="Normal (Web)"/>
    <w:basedOn w:val="Normal"/>
    <w:uiPriority w:val="99"/>
    <w:semiHidden/>
    <w:unhideWhenUsed/>
    <w:rsid w:val="00E0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rCharCharCharCharCharChar">
    <w:name w:val="Char Char Char Char Char Char Char"/>
    <w:basedOn w:val="Normal"/>
    <w:rsid w:val="00BF6899"/>
    <w:pPr>
      <w:spacing w:before="12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table" w:customStyle="1" w:styleId="GridTable6ColorfulAccent2">
    <w:name w:val="Grid Table 6 Colorful Accent 2"/>
    <w:basedOn w:val="TableNormal"/>
    <w:uiPriority w:val="51"/>
    <w:rsid w:val="00DC55F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0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0C69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26A"/>
    <w:pPr>
      <w:ind w:left="720"/>
      <w:contextualSpacing/>
    </w:pPr>
  </w:style>
  <w:style w:type="table" w:styleId="TableGrid">
    <w:name w:val="Table Grid"/>
    <w:basedOn w:val="TableNormal"/>
    <w:uiPriority w:val="39"/>
    <w:rsid w:val="0086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-Accentuation61">
    <w:name w:val="Tableau Grille 1 Clair - Accentuation 61"/>
    <w:basedOn w:val="TableNormal"/>
    <w:uiPriority w:val="46"/>
    <w:rsid w:val="003617E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2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A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79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9C"/>
  </w:style>
  <w:style w:type="paragraph" w:styleId="Footer">
    <w:name w:val="footer"/>
    <w:basedOn w:val="Normal"/>
    <w:link w:val="FooterChar"/>
    <w:uiPriority w:val="99"/>
    <w:unhideWhenUsed/>
    <w:rsid w:val="003C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79C"/>
  </w:style>
  <w:style w:type="paragraph" w:styleId="NormalWeb">
    <w:name w:val="Normal (Web)"/>
    <w:basedOn w:val="Normal"/>
    <w:uiPriority w:val="99"/>
    <w:semiHidden/>
    <w:unhideWhenUsed/>
    <w:rsid w:val="00E0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rCharCharCharCharCharChar">
    <w:name w:val="Char Char Char Char Char Char Char"/>
    <w:basedOn w:val="Normal"/>
    <w:rsid w:val="00BF6899"/>
    <w:pPr>
      <w:spacing w:before="12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table" w:customStyle="1" w:styleId="GridTable6ColorfulAccent2">
    <w:name w:val="Grid Table 6 Colorful Accent 2"/>
    <w:basedOn w:val="TableNormal"/>
    <w:uiPriority w:val="51"/>
    <w:rsid w:val="00DC55F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0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0C6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775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2016-12-01T10:59:00Z</cp:lastPrinted>
  <dcterms:created xsi:type="dcterms:W3CDTF">2020-02-07T07:48:00Z</dcterms:created>
  <dcterms:modified xsi:type="dcterms:W3CDTF">2020-02-07T07:55:00Z</dcterms:modified>
</cp:coreProperties>
</file>